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72C" w:rsidRDefault="00FE572C">
      <w:pPr>
        <w:pStyle w:val="ConsPlusNormal"/>
        <w:jc w:val="right"/>
        <w:outlineLvl w:val="0"/>
      </w:pPr>
      <w:r>
        <w:t>Приложение N 6</w:t>
      </w:r>
    </w:p>
    <w:p w:rsidR="00FE572C" w:rsidRDefault="00FE572C">
      <w:pPr>
        <w:pStyle w:val="ConsPlusNormal"/>
        <w:jc w:val="right"/>
      </w:pPr>
      <w:r>
        <w:t>к Программе</w:t>
      </w:r>
    </w:p>
    <w:p w:rsidR="00FE572C" w:rsidRDefault="00FE572C">
      <w:pPr>
        <w:pStyle w:val="ConsPlusNormal"/>
        <w:jc w:val="both"/>
      </w:pPr>
    </w:p>
    <w:p w:rsidR="00FE572C" w:rsidRDefault="00FE572C">
      <w:pPr>
        <w:pStyle w:val="ConsPlusTitle"/>
        <w:jc w:val="center"/>
      </w:pPr>
      <w:r>
        <w:t>ПРАВИЛА</w:t>
      </w:r>
    </w:p>
    <w:p w:rsidR="00FE572C" w:rsidRDefault="00FE572C">
      <w:pPr>
        <w:pStyle w:val="ConsPlusTitle"/>
        <w:jc w:val="center"/>
      </w:pPr>
      <w:r>
        <w:t xml:space="preserve">ПРЕДОСТАВЛЕНИЯ И РАСПРЕДЕЛЕНИЯ СУБСИДИИ </w:t>
      </w:r>
      <w:proofErr w:type="gramStart"/>
      <w:r>
        <w:t>ИЗ</w:t>
      </w:r>
      <w:proofErr w:type="gramEnd"/>
      <w:r>
        <w:t xml:space="preserve"> ОБЛАСТНОГО</w:t>
      </w:r>
    </w:p>
    <w:p w:rsidR="00FE572C" w:rsidRDefault="00FE572C">
      <w:pPr>
        <w:pStyle w:val="ConsPlusTitle"/>
        <w:jc w:val="center"/>
      </w:pPr>
      <w:r>
        <w:t>БЮДЖЕТА МЕСТНЫМ БЮДЖЕТАМ МУРМАНСКОЙ ОБЛАСТИ</w:t>
      </w:r>
    </w:p>
    <w:p w:rsidR="00FE572C" w:rsidRDefault="00FE572C">
      <w:pPr>
        <w:pStyle w:val="ConsPlusTitle"/>
        <w:jc w:val="center"/>
      </w:pPr>
      <w:r>
        <w:t>НА СОФИНАНСИРОВАНИЕ МЕРОПРИЯТИЙ ПО ПЕРЕСЕЛЕНИЮ ГРАЖДАН</w:t>
      </w:r>
    </w:p>
    <w:p w:rsidR="00FE572C" w:rsidRDefault="00FE572C">
      <w:pPr>
        <w:pStyle w:val="ConsPlusTitle"/>
        <w:jc w:val="center"/>
      </w:pPr>
      <w:r>
        <w:t xml:space="preserve">ИЗ АВАРИЙНОГО ЖИЛИЩНОГО ФОНДА, </w:t>
      </w:r>
      <w:proofErr w:type="gramStart"/>
      <w:r>
        <w:t>РАССЕЛЯЕМЫХ</w:t>
      </w:r>
      <w:proofErr w:type="gramEnd"/>
      <w:r>
        <w:t xml:space="preserve"> С ПРИВЛЕЧЕНИЕМ</w:t>
      </w:r>
    </w:p>
    <w:p w:rsidR="00FE572C" w:rsidRDefault="00FE572C">
      <w:pPr>
        <w:pStyle w:val="ConsPlusTitle"/>
        <w:jc w:val="center"/>
      </w:pPr>
      <w:r>
        <w:t>СРЕДСТВ ГОСУДАРСТВЕННОЙ КОРПОРАЦИИ - ФОНДА СОДЕЙСТВИЯ</w:t>
      </w:r>
    </w:p>
    <w:p w:rsidR="00FE572C" w:rsidRDefault="00FE572C">
      <w:pPr>
        <w:pStyle w:val="ConsPlusTitle"/>
        <w:jc w:val="center"/>
      </w:pPr>
      <w:r>
        <w:t>РЕФОРМИРОВАНИЮ ЖИЛИЩНО-КОММУНАЛЬНОГО ХОЗЯЙСТВА</w:t>
      </w:r>
    </w:p>
    <w:p w:rsidR="00FE572C" w:rsidRDefault="00FE572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E572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E572C" w:rsidRDefault="00FE572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E572C" w:rsidRDefault="00FE572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E572C" w:rsidRDefault="00FE572C">
            <w:pPr>
              <w:pStyle w:val="ConsPlusNormal"/>
              <w:jc w:val="center"/>
            </w:pPr>
            <w:r>
              <w:rPr>
                <w:color w:val="392C69"/>
              </w:rPr>
              <w:t>Список изменяющих документов</w:t>
            </w:r>
          </w:p>
          <w:p w:rsidR="00FE572C" w:rsidRDefault="00FE572C">
            <w:pPr>
              <w:pStyle w:val="ConsPlusNormal"/>
              <w:jc w:val="center"/>
            </w:pPr>
            <w:proofErr w:type="gramStart"/>
            <w:r>
              <w:rPr>
                <w:color w:val="392C69"/>
              </w:rPr>
              <w:t>(в ред. постановлений Правительства Мурманской области</w:t>
            </w:r>
            <w:proofErr w:type="gramEnd"/>
          </w:p>
          <w:p w:rsidR="00FE572C" w:rsidRDefault="00FE572C">
            <w:pPr>
              <w:pStyle w:val="ConsPlusNormal"/>
              <w:jc w:val="center"/>
            </w:pPr>
            <w:r>
              <w:rPr>
                <w:color w:val="392C69"/>
              </w:rPr>
              <w:t xml:space="preserve">от 14.04.2023 </w:t>
            </w:r>
            <w:hyperlink r:id="rId5">
              <w:r>
                <w:rPr>
                  <w:color w:val="0000FF"/>
                </w:rPr>
                <w:t>N 287-ПП</w:t>
              </w:r>
            </w:hyperlink>
            <w:r>
              <w:rPr>
                <w:color w:val="392C69"/>
              </w:rPr>
              <w:t xml:space="preserve">, от 24.07.2023 </w:t>
            </w:r>
            <w:hyperlink r:id="rId6">
              <w:r>
                <w:rPr>
                  <w:color w:val="0000FF"/>
                </w:rPr>
                <w:t>N 535-ПП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E572C" w:rsidRDefault="00FE572C">
            <w:pPr>
              <w:pStyle w:val="ConsPlusNormal"/>
            </w:pPr>
          </w:p>
        </w:tc>
      </w:tr>
    </w:tbl>
    <w:p w:rsidR="00FE572C" w:rsidRDefault="00FE572C">
      <w:pPr>
        <w:pStyle w:val="ConsPlusNormal"/>
        <w:jc w:val="both"/>
      </w:pPr>
    </w:p>
    <w:p w:rsidR="00FE572C" w:rsidRDefault="00FE572C">
      <w:pPr>
        <w:pStyle w:val="ConsPlusNormal"/>
        <w:ind w:firstLine="540"/>
        <w:jc w:val="both"/>
      </w:pPr>
      <w:r>
        <w:t xml:space="preserve">1. </w:t>
      </w:r>
      <w:proofErr w:type="gramStart"/>
      <w:r>
        <w:t xml:space="preserve">Настоящие Правила определяют порядок, цели и условия предоставления и распределения субсидии из областного бюджета местным бюджетам Мурманской области на софинансирование мероприятий по переселению граждан из аварийного жилищного фонда в рамках региональной адресной </w:t>
      </w:r>
      <w:hyperlink r:id="rId7">
        <w:r>
          <w:rPr>
            <w:color w:val="0000FF"/>
          </w:rPr>
          <w:t>программы</w:t>
        </w:r>
      </w:hyperlink>
      <w:r>
        <w:t xml:space="preserve"> "Переселение граждан из аварийного жилищного фонда Мурманской области" на 2019 - 2024 годы, расселяемых с привлечением средств государственной корпорации - Фонда содействия реформированию жилищно-коммунального хозяйства (далее соответственно - Правила, субсидия</w:t>
      </w:r>
      <w:proofErr w:type="gramEnd"/>
      <w:r>
        <w:t>, муниципальное образование, Фонд).</w:t>
      </w:r>
    </w:p>
    <w:p w:rsidR="00FE572C" w:rsidRDefault="00FE572C">
      <w:pPr>
        <w:pStyle w:val="ConsPlusNormal"/>
        <w:spacing w:before="220"/>
        <w:ind w:firstLine="540"/>
        <w:jc w:val="both"/>
      </w:pPr>
      <w:bookmarkStart w:id="0" w:name="P15"/>
      <w:bookmarkEnd w:id="0"/>
      <w:r>
        <w:t>2. Субсидия предоставляется Министерством строительства Мурманской области (далее - Министерство) в целях софинансирования расходных обязательств муниципальных образований на реализацию следующих мероприятий:</w:t>
      </w:r>
    </w:p>
    <w:p w:rsidR="00FE572C" w:rsidRDefault="00FE572C">
      <w:pPr>
        <w:pStyle w:val="ConsPlusNormal"/>
        <w:spacing w:before="220"/>
        <w:ind w:firstLine="540"/>
        <w:jc w:val="both"/>
      </w:pPr>
      <w:bookmarkStart w:id="1" w:name="P16"/>
      <w:bookmarkEnd w:id="1"/>
      <w:proofErr w:type="gramStart"/>
      <w:r>
        <w:t xml:space="preserve">1) приобретение жилых помещений в многоквартирных домах, а также в домах блокированной застройки, указанных в </w:t>
      </w:r>
      <w:hyperlink r:id="rId8">
        <w:r>
          <w:rPr>
            <w:color w:val="0000FF"/>
          </w:rPr>
          <w:t>пункте 2 части 2 статьи 49</w:t>
        </w:r>
      </w:hyperlink>
      <w:r>
        <w:t xml:space="preserve"> Градостроительного кодекса Российской Федерации (в том числе в многоквартирных домах, строительство которых не завершено), и строительство таких домов (включая подготовку проектной документации в целях строительства таких домов), строительство индивидуальных жилых домов по проектам, отобранным в соответствии с методикой, утвержденной</w:t>
      </w:r>
      <w:proofErr w:type="gramEnd"/>
      <w:r>
        <w:t xml:space="preserve"> </w:t>
      </w:r>
      <w:proofErr w:type="gramStart"/>
      <w:r>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жилищной политики и жилищно-коммунального хозяйства, а также приобретение таких индивидуальных жилых домов, в том числе для целей последующего предоставления гражданам жилых помещений по договору социального найма, или договору найма жилого помещения жилищного фонда социального использования, или договору найма жилого помещения маневренного фонда в</w:t>
      </w:r>
      <w:proofErr w:type="gramEnd"/>
      <w:r>
        <w:t xml:space="preserve"> связи с переселением из аварийного жилищного фонда, или договору мены с собственником жилого помещения аварийного жилищного фонда;</w:t>
      </w:r>
    </w:p>
    <w:p w:rsidR="00FE572C" w:rsidRDefault="00FE572C">
      <w:pPr>
        <w:pStyle w:val="ConsPlusNormal"/>
        <w:spacing w:before="220"/>
        <w:ind w:firstLine="540"/>
        <w:jc w:val="both"/>
      </w:pPr>
      <w:bookmarkStart w:id="2" w:name="P17"/>
      <w:bookmarkEnd w:id="2"/>
      <w:r>
        <w:t xml:space="preserve">2) выплату гражданам, в чьей собственности находятся жилые помещения, входящие в аварийный жилищный фонд, возмещения за изымаемые жилые помещения в соответствии с </w:t>
      </w:r>
      <w:hyperlink r:id="rId9">
        <w:r>
          <w:rPr>
            <w:color w:val="0000FF"/>
          </w:rPr>
          <w:t>частью 7 статьи 32</w:t>
        </w:r>
      </w:hyperlink>
      <w:r>
        <w:t xml:space="preserve"> Жилищного кодекса Российской Федерации;</w:t>
      </w:r>
    </w:p>
    <w:p w:rsidR="00FE572C" w:rsidRDefault="00FE572C">
      <w:pPr>
        <w:pStyle w:val="ConsPlusNormal"/>
        <w:spacing w:before="220"/>
        <w:ind w:firstLine="540"/>
        <w:jc w:val="both"/>
      </w:pPr>
      <w:proofErr w:type="gramStart"/>
      <w:r>
        <w:t xml:space="preserve">3) предоставление гражданам, в отношении которых принято решение об изъятии жилого помещения в соответствии со </w:t>
      </w:r>
      <w:hyperlink r:id="rId10">
        <w:r>
          <w:rPr>
            <w:color w:val="0000FF"/>
          </w:rPr>
          <w:t>статьей 32</w:t>
        </w:r>
      </w:hyperlink>
      <w:r>
        <w:t xml:space="preserve"> ЖК РФ, не имеющим иного пригодного для проживания жилого помещения, находящегося в собственности или занимаемого на условиях социального найма, субсидии на приобретение (строительство) жилого помещения в размере, не превышающем разницы между стоимостью жилого помещения, равнозначного по площади изымаемому, рассчитанной исходя из нормативной стоимости</w:t>
      </w:r>
      <w:proofErr w:type="gramEnd"/>
      <w:r>
        <w:t xml:space="preserve"> квадратного метра, и полученным возмещением, и (или) субсидии на возмещение части расходов на уплату процентов в размере ключевой ставки за пользование займом или кредитом, </w:t>
      </w:r>
      <w:proofErr w:type="gramStart"/>
      <w:r>
        <w:t>полученными</w:t>
      </w:r>
      <w:proofErr w:type="gramEnd"/>
      <w:r>
        <w:t xml:space="preserve"> в валюте Российской </w:t>
      </w:r>
      <w:r>
        <w:lastRenderedPageBreak/>
        <w:t>Федерации и использованными на приобретение (строительство) жилых помещений.</w:t>
      </w:r>
    </w:p>
    <w:p w:rsidR="00FE572C" w:rsidRDefault="00FE572C">
      <w:pPr>
        <w:pStyle w:val="ConsPlusNormal"/>
        <w:spacing w:before="220"/>
        <w:ind w:firstLine="540"/>
        <w:jc w:val="both"/>
      </w:pPr>
      <w:r>
        <w:t xml:space="preserve">Срок реализации мероприятий, указанных в </w:t>
      </w:r>
      <w:hyperlink w:anchor="P16">
        <w:r>
          <w:rPr>
            <w:color w:val="0000FF"/>
          </w:rPr>
          <w:t>подпунктах 1</w:t>
        </w:r>
      </w:hyperlink>
      <w:r>
        <w:t xml:space="preserve">, </w:t>
      </w:r>
      <w:hyperlink w:anchor="P17">
        <w:r>
          <w:rPr>
            <w:color w:val="0000FF"/>
          </w:rPr>
          <w:t>2</w:t>
        </w:r>
      </w:hyperlink>
      <w:r>
        <w:t xml:space="preserve"> настоящего пункта, истекает 31.12.2023.</w:t>
      </w:r>
    </w:p>
    <w:p w:rsidR="00FE572C" w:rsidRDefault="00FE572C">
      <w:pPr>
        <w:pStyle w:val="ConsPlusNormal"/>
        <w:spacing w:before="220"/>
        <w:ind w:firstLine="540"/>
        <w:jc w:val="both"/>
      </w:pPr>
      <w:r>
        <w:t>3. Субсидия предоставляется бюджетам муниципальных образований при соблюдении следующих условий:</w:t>
      </w:r>
    </w:p>
    <w:p w:rsidR="00FE572C" w:rsidRDefault="00FE572C">
      <w:pPr>
        <w:pStyle w:val="ConsPlusNormal"/>
        <w:spacing w:before="220"/>
        <w:ind w:firstLine="540"/>
        <w:jc w:val="both"/>
      </w:pPr>
      <w:r>
        <w:t>а) наличие заключенного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w:t>
      </w:r>
    </w:p>
    <w:p w:rsidR="00FE572C" w:rsidRDefault="00FE572C">
      <w:pPr>
        <w:pStyle w:val="ConsPlusNormal"/>
        <w:spacing w:before="220"/>
        <w:ind w:firstLine="540"/>
        <w:jc w:val="both"/>
      </w:pPr>
      <w:r>
        <w:t>б) наличие муниципальной программы, содержащей мероприятия, в целях софинансирования которых предоставляется субсидия из областного бюджета.</w:t>
      </w:r>
    </w:p>
    <w:p w:rsidR="00FE572C" w:rsidRDefault="00FE572C">
      <w:pPr>
        <w:pStyle w:val="ConsPlusNormal"/>
        <w:spacing w:before="220"/>
        <w:ind w:firstLine="540"/>
        <w:jc w:val="both"/>
      </w:pPr>
      <w:r>
        <w:t>Муниципальная программа должна содержать:</w:t>
      </w:r>
    </w:p>
    <w:p w:rsidR="00FE572C" w:rsidRDefault="00FE572C">
      <w:pPr>
        <w:pStyle w:val="ConsPlusNormal"/>
        <w:spacing w:before="220"/>
        <w:ind w:firstLine="540"/>
        <w:jc w:val="both"/>
      </w:pPr>
      <w:r>
        <w:t>- перечень многоквартирных домов, признанных в установленном порядке аварийными и подлежащими сносу или реконструкции в связи с физическим износом в процессе их эксплуатации до 1 января 2017 года;</w:t>
      </w:r>
    </w:p>
    <w:p w:rsidR="00FE572C" w:rsidRDefault="00FE572C">
      <w:pPr>
        <w:pStyle w:val="ConsPlusNormal"/>
        <w:spacing w:before="220"/>
        <w:ind w:firstLine="540"/>
        <w:jc w:val="both"/>
      </w:pPr>
      <w:r>
        <w:t>- обоснование программных мероприятий;</w:t>
      </w:r>
    </w:p>
    <w:p w:rsidR="00FE572C" w:rsidRDefault="00FE572C">
      <w:pPr>
        <w:pStyle w:val="ConsPlusNormal"/>
        <w:spacing w:before="220"/>
        <w:ind w:firstLine="540"/>
        <w:jc w:val="both"/>
      </w:pPr>
      <w:proofErr w:type="gramStart"/>
      <w:r>
        <w:t>- план мероприятий, подлежащих софинансированию за счет средств Фонда и областного бюджета, с указанием объемов финансирования мероприятий за счет средств Фонда, областного и местного бюджетов, в том числе предусматривающую возможность предоставления субсидии на приобретение (строительство) жилого помещения в размере, не превышающем разницы между стоимостью жилого помещения, равнозначного по площади изымаемому, рассчитанной исходя из нормативной стоимости квадратного метра, и полученным возмещением, и</w:t>
      </w:r>
      <w:proofErr w:type="gramEnd"/>
      <w:r>
        <w:t xml:space="preserve"> (или) субсидии на возмещение части расходов на уплату процентов в размере ключевой ставки за пользование займом или кредитом, </w:t>
      </w:r>
      <w:proofErr w:type="gramStart"/>
      <w:r>
        <w:t>полученными</w:t>
      </w:r>
      <w:proofErr w:type="gramEnd"/>
      <w:r>
        <w:t xml:space="preserve"> в валюте Российской Федерации и использованными на приобретение (строительство) жилых помещений;</w:t>
      </w:r>
    </w:p>
    <w:p w:rsidR="00FE572C" w:rsidRDefault="00FE572C">
      <w:pPr>
        <w:pStyle w:val="ConsPlusNormal"/>
        <w:spacing w:before="220"/>
        <w:ind w:firstLine="540"/>
        <w:jc w:val="both"/>
      </w:pPr>
      <w:r>
        <w:t>- планируемые показатели выполнения муниципальной программы;</w:t>
      </w:r>
    </w:p>
    <w:p w:rsidR="00FE572C" w:rsidRDefault="00FE572C">
      <w:pPr>
        <w:pStyle w:val="ConsPlusNormal"/>
        <w:spacing w:before="220"/>
        <w:ind w:firstLine="540"/>
        <w:jc w:val="both"/>
      </w:pPr>
      <w:r>
        <w:t>- размер стоимости одного квадратного метра общей площади жилых помещений, предоставляемых гражданам в рамках муниципальной программы.</w:t>
      </w:r>
    </w:p>
    <w:p w:rsidR="00FE572C" w:rsidRDefault="00FE572C">
      <w:pPr>
        <w:pStyle w:val="ConsPlusNormal"/>
        <w:spacing w:before="220"/>
        <w:ind w:firstLine="540"/>
        <w:jc w:val="both"/>
      </w:pPr>
      <w:r>
        <w:t>Муниципальная программа или этапы этой программы, на реализацию которых с 2019 до 2022 года предоставлена субсидия из областного бюджета, должны быть реализованы не позднее 31 декабря года, следующего за годом предоставления субсидии. Этап муниципальной программы, на реализацию которого предоставлена субсидия из областного бюджета в 2023 году, должен быть реализован не позднее 31 декабря 2024 года.</w:t>
      </w:r>
    </w:p>
    <w:p w:rsidR="00FE572C" w:rsidRDefault="00FE572C">
      <w:pPr>
        <w:pStyle w:val="ConsPlusNormal"/>
        <w:jc w:val="both"/>
      </w:pPr>
      <w:r>
        <w:t>(</w:t>
      </w:r>
      <w:proofErr w:type="gramStart"/>
      <w:r>
        <w:t>в</w:t>
      </w:r>
      <w:proofErr w:type="gramEnd"/>
      <w:r>
        <w:t xml:space="preserve"> ред. </w:t>
      </w:r>
      <w:hyperlink r:id="rId11">
        <w:r>
          <w:rPr>
            <w:color w:val="0000FF"/>
          </w:rPr>
          <w:t>постановления</w:t>
        </w:r>
      </w:hyperlink>
      <w:r>
        <w:t xml:space="preserve"> Правительства Мурманской области от 24.07.2023 N 535-ПП)</w:t>
      </w:r>
    </w:p>
    <w:p w:rsidR="00FE572C" w:rsidRDefault="00FE572C">
      <w:pPr>
        <w:pStyle w:val="ConsPlusNormal"/>
        <w:spacing w:before="220"/>
        <w:ind w:firstLine="540"/>
        <w:jc w:val="both"/>
      </w:pPr>
      <w:r>
        <w:t>При этом к указанному сроку количество граждан, переселенных из аварийного жилищного фонда в соответствии с муниципальной программой, в совокупности не должно быть менее количества подлежащих переселению граждан, которое указано в Программе.</w:t>
      </w:r>
    </w:p>
    <w:p w:rsidR="00FE572C" w:rsidRDefault="00FE572C">
      <w:pPr>
        <w:pStyle w:val="ConsPlusNormal"/>
        <w:spacing w:before="220"/>
        <w:ind w:firstLine="540"/>
        <w:jc w:val="both"/>
      </w:pPr>
      <w:r>
        <w:t>В случае внесения в муниципальные программы и мероприятия в указанных программах изменений, которые влекут изменения объемов финансового обеспечения и (или) показателей результативности и (или) изменение состава мероприятий, в целях софинансирования которых предоставляется субсидия, муниципальное образование обеспечивает согласование соответствующих изменений с Министерством;</w:t>
      </w:r>
    </w:p>
    <w:p w:rsidR="00FE572C" w:rsidRDefault="00FE572C">
      <w:pPr>
        <w:pStyle w:val="ConsPlusNormal"/>
        <w:spacing w:before="220"/>
        <w:ind w:firstLine="540"/>
        <w:jc w:val="both"/>
      </w:pPr>
      <w:r>
        <w:lastRenderedPageBreak/>
        <w:t xml:space="preserve">в) наличие в автоматизированной информационной системе "Реформа ЖКХ" </w:t>
      </w:r>
      <w:proofErr w:type="gramStart"/>
      <w:r>
        <w:t>скан-образов</w:t>
      </w:r>
      <w:proofErr w:type="gramEnd"/>
      <w:r>
        <w:t xml:space="preserve"> документов о признании домов аварийными и подлежащими сносу или реконструкции, принятых в установленном порядке.</w:t>
      </w:r>
    </w:p>
    <w:p w:rsidR="00FE572C" w:rsidRDefault="00FE572C">
      <w:pPr>
        <w:pStyle w:val="ConsPlusNormal"/>
        <w:spacing w:before="220"/>
        <w:ind w:firstLine="540"/>
        <w:jc w:val="both"/>
      </w:pPr>
      <w:proofErr w:type="gramStart"/>
      <w:r>
        <w:t xml:space="preserve">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12">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w:t>
      </w:r>
      <w:proofErr w:type="gramEnd"/>
      <w:r>
        <w:t xml:space="preserve"> - </w:t>
      </w:r>
      <w:proofErr w:type="gramStart"/>
      <w:r>
        <w:t>Закон N 44-ФЗ),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roofErr w:type="gramEnd"/>
    </w:p>
    <w:p w:rsidR="00FE572C" w:rsidRDefault="00FE572C">
      <w:pPr>
        <w:pStyle w:val="ConsPlusNormal"/>
        <w:spacing w:before="220"/>
        <w:ind w:firstLine="540"/>
        <w:jc w:val="both"/>
      </w:pPr>
      <w:proofErr w:type="gramStart"/>
      <w:r>
        <w:t xml:space="preserve">Если за счет средств субсидий автономным учреждением осуществляется закупка в соответствии с </w:t>
      </w:r>
      <w:hyperlink r:id="rId13">
        <w:r>
          <w:rPr>
            <w:color w:val="0000FF"/>
          </w:rPr>
          <w:t>частью 4 статьи 15</w:t>
        </w:r>
      </w:hyperlink>
      <w:r>
        <w:t xml:space="preserve"> Закона N 44-ФЗ или юридическим лицом осуществляется закупка в соответствии с </w:t>
      </w:r>
      <w:hyperlink r:id="rId14">
        <w:r>
          <w:rPr>
            <w:color w:val="0000FF"/>
          </w:rPr>
          <w:t>частями 4.1</w:t>
        </w:r>
      </w:hyperlink>
      <w:r>
        <w:t xml:space="preserve">, </w:t>
      </w:r>
      <w:hyperlink r:id="rId15">
        <w:r>
          <w:rPr>
            <w:color w:val="0000FF"/>
          </w:rPr>
          <w:t>5 статьи 15</w:t>
        </w:r>
      </w:hyperlink>
      <w:r>
        <w:t xml:space="preserve"> Закона N 44-ФЗ, обязательным условием предоставления субсидии является направление в Комитет по конкурентной политике Мурманской области (далее - Комитет) проекта извещения об осуществлении такой закупки и применение типовых форм</w:t>
      </w:r>
      <w:proofErr w:type="gramEnd"/>
      <w:r>
        <w:t xml:space="preserve">, </w:t>
      </w:r>
      <w:proofErr w:type="gramStart"/>
      <w:r>
        <w:t>утверждаемых</w:t>
      </w:r>
      <w:proofErr w:type="gramEnd"/>
      <w:r>
        <w:t xml:space="preserve"> Комитетом.</w:t>
      </w:r>
    </w:p>
    <w:p w:rsidR="00FE572C" w:rsidRDefault="00FE572C">
      <w:pPr>
        <w:pStyle w:val="ConsPlusNormal"/>
        <w:spacing w:before="220"/>
        <w:ind w:firstLine="540"/>
        <w:jc w:val="both"/>
      </w:pPr>
      <w:proofErr w:type="gramStart"/>
      <w:r>
        <w:t xml:space="preserve">Закупки товаров, работ, услуг за счет средств субсидий в соответствии с Федеральным </w:t>
      </w:r>
      <w:hyperlink r:id="rId16">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17">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FE572C" w:rsidRDefault="00FE572C">
      <w:pPr>
        <w:pStyle w:val="ConsPlusNormal"/>
        <w:spacing w:before="220"/>
        <w:ind w:firstLine="540"/>
        <w:jc w:val="both"/>
      </w:pPr>
      <w:bookmarkStart w:id="3" w:name="P37"/>
      <w:bookmarkEnd w:id="3"/>
      <w:r>
        <w:t>4. Критерием отбора муниципальных образований для предоставления субсидии является наличие на территории муниципального образования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FE572C" w:rsidRDefault="00FE572C">
      <w:pPr>
        <w:pStyle w:val="ConsPlusNormal"/>
        <w:spacing w:before="220"/>
        <w:ind w:firstLine="540"/>
        <w:jc w:val="both"/>
      </w:pPr>
      <w:r>
        <w:t>5. Показателями результативности использования субсидии является достижение установленных Соглашением показателей, а именно:</w:t>
      </w:r>
    </w:p>
    <w:p w:rsidR="00FE572C" w:rsidRDefault="00FE572C">
      <w:pPr>
        <w:pStyle w:val="ConsPlusNormal"/>
        <w:spacing w:before="220"/>
        <w:ind w:firstLine="540"/>
        <w:jc w:val="both"/>
      </w:pPr>
      <w:bookmarkStart w:id="4" w:name="P39"/>
      <w:bookmarkEnd w:id="4"/>
      <w:r>
        <w:t>5.1. расселенная площадь жилых помещений по каждому этапу реализации Программы;</w:t>
      </w:r>
    </w:p>
    <w:p w:rsidR="00FE572C" w:rsidRDefault="00FE572C">
      <w:pPr>
        <w:pStyle w:val="ConsPlusNormal"/>
        <w:spacing w:before="220"/>
        <w:ind w:firstLine="540"/>
        <w:jc w:val="both"/>
      </w:pPr>
      <w:bookmarkStart w:id="5" w:name="P40"/>
      <w:bookmarkEnd w:id="5"/>
      <w:r>
        <w:t>5.2. количество переселенных граждан по каждому этапу реализации Программы;</w:t>
      </w:r>
    </w:p>
    <w:p w:rsidR="00FE572C" w:rsidRDefault="00FE572C">
      <w:pPr>
        <w:pStyle w:val="ConsPlusNormal"/>
        <w:spacing w:before="220"/>
        <w:ind w:firstLine="540"/>
        <w:jc w:val="both"/>
      </w:pPr>
      <w:proofErr w:type="gramStart"/>
      <w:r>
        <w:t>5.3. процент граждан, получивших субсидию на приобретение (строительство) жилого помещения в размере, не превышающем разницы между стоимостью жилого помещения, равнозначного по площади изымаемому, рассчитанной исходя из нормативной стоимости квадратного метра, и полученным возмещением, и (или) субсидии на возмещение части расходов на уплату процентов в размере ключевой ставки за пользование займом или кредитом, полученными в валюте Российской Федерации и использованными на</w:t>
      </w:r>
      <w:proofErr w:type="gramEnd"/>
      <w:r>
        <w:t xml:space="preserve"> приобретение (строительство) жилых помещений.</w:t>
      </w:r>
    </w:p>
    <w:p w:rsidR="00FE572C" w:rsidRDefault="00FE572C">
      <w:pPr>
        <w:pStyle w:val="ConsPlusNormal"/>
        <w:spacing w:before="220"/>
        <w:ind w:firstLine="540"/>
        <w:jc w:val="both"/>
      </w:pPr>
      <w:r>
        <w:lastRenderedPageBreak/>
        <w:t>6. Министерство осуществляет оценку результативности предоставления субсидии на основании сравнения значения целевого показателя, установленного Соглашением, и фактически достигнутого целевого показателя по итогам реализации этапа Программы.</w:t>
      </w:r>
    </w:p>
    <w:p w:rsidR="00FE572C" w:rsidRDefault="00FE572C">
      <w:pPr>
        <w:pStyle w:val="ConsPlusNormal"/>
        <w:spacing w:before="220"/>
        <w:ind w:firstLine="540"/>
        <w:jc w:val="both"/>
      </w:pPr>
      <w:r>
        <w:t xml:space="preserve">Оценка результативности предоставления субсидии на основании сравнения значений целевых показателей, указанных в </w:t>
      </w:r>
      <w:hyperlink w:anchor="P39">
        <w:r>
          <w:rPr>
            <w:color w:val="0000FF"/>
          </w:rPr>
          <w:t>пунктах 5.1</w:t>
        </w:r>
      </w:hyperlink>
      <w:r>
        <w:t xml:space="preserve">, </w:t>
      </w:r>
      <w:hyperlink w:anchor="P40">
        <w:r>
          <w:rPr>
            <w:color w:val="0000FF"/>
          </w:rPr>
          <w:t>5.2</w:t>
        </w:r>
      </w:hyperlink>
      <w:r>
        <w:t xml:space="preserve">, осуществляется только в отношении мероприятий, указанных в </w:t>
      </w:r>
      <w:hyperlink w:anchor="P16">
        <w:r>
          <w:rPr>
            <w:color w:val="0000FF"/>
          </w:rPr>
          <w:t>подпунктах 1</w:t>
        </w:r>
      </w:hyperlink>
      <w:r>
        <w:t xml:space="preserve">, </w:t>
      </w:r>
      <w:hyperlink w:anchor="P17">
        <w:r>
          <w:rPr>
            <w:color w:val="0000FF"/>
          </w:rPr>
          <w:t>2 пункта 2</w:t>
        </w:r>
      </w:hyperlink>
      <w:r>
        <w:t>.</w:t>
      </w:r>
    </w:p>
    <w:p w:rsidR="00FE572C" w:rsidRDefault="00FE572C">
      <w:pPr>
        <w:pStyle w:val="ConsPlusNormal"/>
        <w:spacing w:before="220"/>
        <w:ind w:firstLine="540"/>
        <w:jc w:val="both"/>
      </w:pPr>
      <w:r>
        <w:t xml:space="preserve">7. При заключении Соглашения уполномоченными органами местного самоуправления муниципальных образований в Министерство </w:t>
      </w:r>
      <w:proofErr w:type="gramStart"/>
      <w:r>
        <w:t>предоставляется отчет</w:t>
      </w:r>
      <w:proofErr w:type="gramEnd"/>
      <w:r>
        <w:t xml:space="preserve">, подтверждающий исполнение условий предоставления субсидии, предусмотренных </w:t>
      </w:r>
      <w:hyperlink w:anchor="P37">
        <w:r>
          <w:rPr>
            <w:color w:val="0000FF"/>
          </w:rPr>
          <w:t>пунктом 4</w:t>
        </w:r>
      </w:hyperlink>
      <w:r>
        <w:t xml:space="preserve"> настоящих Правил.</w:t>
      </w:r>
    </w:p>
    <w:p w:rsidR="00FE572C" w:rsidRDefault="00FE572C">
      <w:pPr>
        <w:pStyle w:val="ConsPlusNormal"/>
        <w:spacing w:before="220"/>
        <w:ind w:firstLine="540"/>
        <w:jc w:val="both"/>
      </w:pPr>
      <w:r>
        <w:t>8. Представление отчетности в Министерство осуществляется муниципальными образованиями по форме и в сроки, установленные Соглашением.</w:t>
      </w:r>
    </w:p>
    <w:p w:rsidR="00FE572C" w:rsidRDefault="00FE572C">
      <w:pPr>
        <w:pStyle w:val="ConsPlusNormal"/>
        <w:spacing w:before="220"/>
        <w:ind w:firstLine="540"/>
        <w:jc w:val="both"/>
      </w:pPr>
      <w:r>
        <w:t>Министерством может устанавливаться дополнительный перечень необходимых документов и формы отчетности.</w:t>
      </w:r>
    </w:p>
    <w:p w:rsidR="00FE572C" w:rsidRDefault="00FE572C">
      <w:pPr>
        <w:pStyle w:val="ConsPlusNormal"/>
        <w:spacing w:before="220"/>
        <w:ind w:firstLine="540"/>
        <w:jc w:val="both"/>
      </w:pPr>
      <w:r>
        <w:t xml:space="preserve">9. Субсидия предоставляется за счет средств областного бюджета и средств Фонда местным бюджетам в соответствии со сводной бюджетной росписью областного бюджета и кассовым планом в пределах лимитов бюджетных обязательств, предусмотренных Министерству на цели, указанные в </w:t>
      </w:r>
      <w:hyperlink w:anchor="P15">
        <w:r>
          <w:rPr>
            <w:color w:val="0000FF"/>
          </w:rPr>
          <w:t>пункте 2</w:t>
        </w:r>
      </w:hyperlink>
      <w:r>
        <w:t xml:space="preserve"> настоящих Правил.</w:t>
      </w:r>
    </w:p>
    <w:p w:rsidR="00FE572C" w:rsidRDefault="00FE572C">
      <w:pPr>
        <w:pStyle w:val="ConsPlusNormal"/>
        <w:spacing w:before="220"/>
        <w:ind w:firstLine="540"/>
        <w:jc w:val="both"/>
      </w:pPr>
      <w:proofErr w:type="gramStart"/>
      <w:r>
        <w:t xml:space="preserve">Распределение и перераспределение субсидии местным бюджетам из областного бюджета между муниципальными образованиями утверждается в соответствии с </w:t>
      </w:r>
      <w:hyperlink r:id="rId18">
        <w:r>
          <w:rPr>
            <w:color w:val="0000FF"/>
          </w:rPr>
          <w:t>пунктом 2</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"О формировании, предоставлении и распределении субсидий из областного бюджета местным бюджетам Мурманской области" (далее - Правила N 445-ПП).</w:t>
      </w:r>
      <w:proofErr w:type="gramEnd"/>
    </w:p>
    <w:p w:rsidR="00FE572C" w:rsidRDefault="00FE572C">
      <w:pPr>
        <w:pStyle w:val="ConsPlusNormal"/>
        <w:spacing w:before="220"/>
        <w:ind w:firstLine="540"/>
        <w:jc w:val="both"/>
      </w:pPr>
      <w:proofErr w:type="gramStart"/>
      <w:r>
        <w:t>Высвобождающиеся средства областного бюджета, предусмотренные на предоставление субсидии, могут быть перераспределены между другими муниципальными образованиями, имеющими право на получение субсидии, в случае изменения бюджетных ассигнований на сумму экономии, образовавшейся при осуществлении закупок товаров, работ, услуг конкурентными способами определения поставщиков (подрядчиков, исполнителей), либо при расторжении контракта (договора, соглашения) в связи с неисполнением (ненадлежащим исполнением) поставщиком (подрядчиком, исполнителем) условий контракта (договора, соглашения</w:t>
      </w:r>
      <w:proofErr w:type="gramEnd"/>
      <w:r>
        <w:t>), либо при невыполнении условий предоставления субсидии, изменения показателей, используемых в методике при распределении субсидии.</w:t>
      </w:r>
    </w:p>
    <w:p w:rsidR="00FE572C" w:rsidRDefault="00FE572C">
      <w:pPr>
        <w:pStyle w:val="ConsPlusNormal"/>
        <w:spacing w:before="220"/>
        <w:ind w:firstLine="540"/>
        <w:jc w:val="both"/>
      </w:pPr>
      <w:r>
        <w:t>Объем сре</w:t>
      </w:r>
      <w:proofErr w:type="gramStart"/>
      <w:r>
        <w:t>дств дл</w:t>
      </w:r>
      <w:proofErr w:type="gramEnd"/>
      <w:r>
        <w:t>я каждого муниципального образования определяется Министерством в зависимости от способов переселения, перечня аварийных МКД, включенных в Программу, и размера планируемой стоимости одного квадратного метра общей площади жилых помещений, предоставляемых гражданам.</w:t>
      </w:r>
    </w:p>
    <w:p w:rsidR="00FE572C" w:rsidRDefault="00FE572C">
      <w:pPr>
        <w:pStyle w:val="ConsPlusNormal"/>
        <w:spacing w:before="220"/>
        <w:ind w:firstLine="540"/>
        <w:jc w:val="both"/>
      </w:pPr>
      <w:r>
        <w:t xml:space="preserve">По мере реализации программных мероприятий в целях перераспределения объема сэкономленных средств между муниципальными образованиями в Программу вносятся изменения в части корректировки показателей расселения и объема финансирования под фактически заключенные контракты/соглашения. </w:t>
      </w:r>
      <w:proofErr w:type="gramStart"/>
      <w:r>
        <w:t>Далее Министерство осуществляет распределение имеющейся потребности в средствах на реализацию мероприятий по переселению граждан из аварийного жилищного фонда по источникам финансирования между муниципальными образованиями с учетом предоставленной финансовой поддержки за счет средств Фонда, но не более объема средств, выделенных в рамках предоставленных лимитов для реализации этапа Программы, от общей имеющейся потребности в средствах на реализацию этапа Программы, и с учетом</w:t>
      </w:r>
      <w:proofErr w:type="gramEnd"/>
      <w:r>
        <w:t xml:space="preserve"> предусмотренных средств из областного бюджета, при этом каждый </w:t>
      </w:r>
      <w:r>
        <w:lastRenderedPageBreak/>
        <w:t xml:space="preserve">этап разделен на </w:t>
      </w:r>
      <w:proofErr w:type="gramStart"/>
      <w:r>
        <w:t>финансовые</w:t>
      </w:r>
      <w:proofErr w:type="gramEnd"/>
      <w:r>
        <w:t xml:space="preserve"> года. Объем средств областного и местных бюджетов определяется как разница между общим объемом финансирования программы и объемом средств Фонда с учетом предельного уровня софинансирования, определенного для каждого муниципального образования - участника Программы.</w:t>
      </w:r>
    </w:p>
    <w:p w:rsidR="00FE572C" w:rsidRDefault="00FE572C">
      <w:pPr>
        <w:pStyle w:val="ConsPlusNormal"/>
        <w:spacing w:before="220"/>
        <w:ind w:firstLine="540"/>
        <w:jc w:val="both"/>
      </w:pPr>
      <w:r>
        <w:t>10. Уровень софинансирования расходного обязательства муниципального образования за счет средств областного бюджета устанавливается в размере, не превышающем предельный уровень софинансирования из областного бюджета расходного обязательства муниципального образования, утвержденный Правительством Мурманской области.</w:t>
      </w:r>
    </w:p>
    <w:p w:rsidR="00FE572C" w:rsidRDefault="00FE572C">
      <w:pPr>
        <w:pStyle w:val="ConsPlusNormal"/>
        <w:spacing w:before="220"/>
        <w:ind w:firstLine="540"/>
        <w:jc w:val="both"/>
      </w:pPr>
      <w:r>
        <w:t>В случае предоставления субсидий в целях софинансирования расходного обязательства муниципального образования, предусматривающего реализацию более одного мероприятия,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 утвержденным Правительством Мурманской области.</w:t>
      </w:r>
    </w:p>
    <w:p w:rsidR="00FE572C" w:rsidRDefault="00FE572C">
      <w:pPr>
        <w:pStyle w:val="ConsPlusNormal"/>
        <w:spacing w:before="220"/>
        <w:ind w:firstLine="540"/>
        <w:jc w:val="both"/>
      </w:pPr>
      <w:r>
        <w:t>11. Соглашения между Министерством и органами местного самоуправления муниципальных образований о предоставлении субсидии из областного бюджета местному бюджету заключаются в соответствии с типовой формой соглашения, утвержденной Министерством.</w:t>
      </w:r>
    </w:p>
    <w:p w:rsidR="00FE572C" w:rsidRDefault="00FE572C">
      <w:pPr>
        <w:pStyle w:val="ConsPlusNormal"/>
        <w:spacing w:before="220"/>
        <w:ind w:firstLine="540"/>
        <w:jc w:val="both"/>
      </w:pPr>
      <w:r>
        <w:t xml:space="preserve">12. Соглашение должно содержать положения, установленные </w:t>
      </w:r>
      <w:hyperlink r:id="rId19">
        <w:r>
          <w:rPr>
            <w:color w:val="0000FF"/>
          </w:rPr>
          <w:t>пунктом 7</w:t>
        </w:r>
      </w:hyperlink>
      <w:r>
        <w:t xml:space="preserve"> Правил N 445-ПП.</w:t>
      </w:r>
    </w:p>
    <w:p w:rsidR="00FE572C" w:rsidRDefault="00FE572C">
      <w:pPr>
        <w:pStyle w:val="ConsPlusNormal"/>
        <w:spacing w:before="220"/>
        <w:ind w:firstLine="540"/>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FE572C" w:rsidRDefault="00FE572C">
      <w:pPr>
        <w:pStyle w:val="ConsPlusNormal"/>
        <w:spacing w:before="220"/>
        <w:ind w:firstLine="540"/>
        <w:jc w:val="both"/>
      </w:pPr>
      <w:bookmarkStart w:id="6" w:name="P57"/>
      <w:bookmarkEnd w:id="6"/>
      <w:r>
        <w:t>13. Для заключения Соглашения муниципальное образование направляет в Министерство следующие документы:</w:t>
      </w:r>
    </w:p>
    <w:p w:rsidR="00FE572C" w:rsidRDefault="00FE572C">
      <w:pPr>
        <w:pStyle w:val="ConsPlusNormal"/>
        <w:spacing w:before="220"/>
        <w:ind w:firstLine="540"/>
        <w:jc w:val="both"/>
      </w:pPr>
      <w:r>
        <w:t>- подписанный со стороны муниципального образования проект Соглашения с приложениями;</w:t>
      </w:r>
    </w:p>
    <w:p w:rsidR="00FE572C" w:rsidRDefault="00FE572C">
      <w:pPr>
        <w:pStyle w:val="ConsPlusNormal"/>
        <w:spacing w:before="220"/>
        <w:ind w:firstLine="540"/>
        <w:jc w:val="both"/>
      </w:pPr>
      <w:r>
        <w:t>- копию документа, подтверждающего полномочия лица, подписавшего Соглашение;</w:t>
      </w:r>
    </w:p>
    <w:p w:rsidR="00FE572C" w:rsidRDefault="00FE572C">
      <w:pPr>
        <w:pStyle w:val="ConsPlusNormal"/>
        <w:spacing w:before="220"/>
        <w:ind w:firstLine="540"/>
        <w:jc w:val="both"/>
      </w:pPr>
      <w:r>
        <w:t>- копию утвержденной в установленном порядке муниципальной программы.</w:t>
      </w:r>
    </w:p>
    <w:p w:rsidR="00FE572C" w:rsidRDefault="00FE572C">
      <w:pPr>
        <w:pStyle w:val="ConsPlusNormal"/>
        <w:spacing w:before="220"/>
        <w:ind w:firstLine="540"/>
        <w:jc w:val="both"/>
      </w:pPr>
      <w:r>
        <w:t xml:space="preserve">14. Документы, указанные в </w:t>
      </w:r>
      <w:hyperlink w:anchor="P57">
        <w:r>
          <w:rPr>
            <w:color w:val="0000FF"/>
          </w:rPr>
          <w:t>пункте 13</w:t>
        </w:r>
      </w:hyperlink>
      <w:r>
        <w:t xml:space="preserve"> настоящих Правил, подписываются и заверяются главой администрации муниципального образования или лицом, исполняющим его обязанности.</w:t>
      </w:r>
    </w:p>
    <w:p w:rsidR="00FE572C" w:rsidRDefault="00FE572C">
      <w:pPr>
        <w:pStyle w:val="ConsPlusNormal"/>
        <w:spacing w:before="220"/>
        <w:ind w:firstLine="540"/>
        <w:jc w:val="both"/>
      </w:pPr>
      <w:r>
        <w:t xml:space="preserve">15. Неполное представление документов, указанных в </w:t>
      </w:r>
      <w:hyperlink w:anchor="P57">
        <w:r>
          <w:rPr>
            <w:color w:val="0000FF"/>
          </w:rPr>
          <w:t>пункте 13</w:t>
        </w:r>
      </w:hyperlink>
      <w:r>
        <w:t xml:space="preserve"> настоящих Правил, или представление документов, не соответствующих требованиям, считается нарушением Правил и является основанием для отказа в предоставлении субсидии.</w:t>
      </w:r>
    </w:p>
    <w:p w:rsidR="00FE572C" w:rsidRDefault="00FE572C">
      <w:pPr>
        <w:pStyle w:val="ConsPlusNormal"/>
        <w:spacing w:before="220"/>
        <w:ind w:firstLine="540"/>
        <w:jc w:val="both"/>
      </w:pPr>
      <w:r>
        <w:t>16.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FE572C" w:rsidRDefault="00FE572C">
      <w:pPr>
        <w:pStyle w:val="ConsPlusNormal"/>
        <w:spacing w:before="220"/>
        <w:ind w:firstLine="540"/>
        <w:jc w:val="both"/>
      </w:pPr>
      <w:r>
        <w:t xml:space="preserve">17. </w:t>
      </w:r>
      <w:proofErr w:type="gramStart"/>
      <w: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уровень софинансирования, </w:t>
      </w:r>
      <w:r>
        <w:lastRenderedPageBreak/>
        <w:t>указываемый в Соглашении, рассчитывается исходя из общего объема бюджетных ассигнований, предусмотренных в местном бюджете на исполнение расходного обязательства, и суммы субсидии, предоставляемой из областного бюджета.</w:t>
      </w:r>
      <w:proofErr w:type="gramEnd"/>
    </w:p>
    <w:p w:rsidR="00FE572C" w:rsidRDefault="00FE572C">
      <w:pPr>
        <w:pStyle w:val="ConsPlusNormal"/>
        <w:spacing w:before="220"/>
        <w:ind w:firstLine="540"/>
        <w:jc w:val="both"/>
      </w:pPr>
      <w:r>
        <w:t>18. Не использованные на 1 января текущего финансового года средства субсидии подлежат возврату в доход областного бюджета.</w:t>
      </w:r>
    </w:p>
    <w:p w:rsidR="00FE572C" w:rsidRDefault="00FE572C">
      <w:pPr>
        <w:pStyle w:val="ConsPlusNormal"/>
        <w:spacing w:before="220"/>
        <w:ind w:firstLine="540"/>
        <w:jc w:val="both"/>
      </w:pPr>
      <w:proofErr w:type="gramStart"/>
      <w:r>
        <w:t>В соответствии с решением Министерства о наличии потребности в средствах субсидии,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субсидии,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указанной субсидии.</w:t>
      </w:r>
      <w:proofErr w:type="gramEnd"/>
    </w:p>
    <w:p w:rsidR="00FE572C" w:rsidRDefault="00FE572C">
      <w:pPr>
        <w:pStyle w:val="ConsPlusNormal"/>
        <w:spacing w:before="220"/>
        <w:ind w:firstLine="540"/>
        <w:jc w:val="both"/>
      </w:pPr>
      <w:r>
        <w:t>В случае если неиспользованный остаток средств субсидии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FE572C" w:rsidRDefault="00FE572C">
      <w:pPr>
        <w:pStyle w:val="ConsPlusNormal"/>
        <w:spacing w:before="220"/>
        <w:ind w:firstLine="540"/>
        <w:jc w:val="both"/>
      </w:pPr>
      <w:r>
        <w:t>Потребность в неиспользованных остатках средств субсидии, перечисление которой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является субсидия из областного бюджета (далее - под фактическую потребность), определяется в текущем финансовом году в соответствии с решением Министерства.</w:t>
      </w:r>
    </w:p>
    <w:p w:rsidR="00FE572C" w:rsidRDefault="00FE572C">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субсидии, предоставление которой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Министерством в Министерство финансов Мурманской области.</w:t>
      </w:r>
    </w:p>
    <w:p w:rsidR="00FE572C" w:rsidRDefault="00FE572C">
      <w:pPr>
        <w:pStyle w:val="ConsPlusNormal"/>
        <w:spacing w:before="220"/>
        <w:ind w:firstLine="540"/>
        <w:jc w:val="both"/>
      </w:pPr>
      <w:bookmarkStart w:id="7" w:name="P70"/>
      <w:bookmarkEnd w:id="7"/>
      <w:r>
        <w:t xml:space="preserve">19.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r:id="rId20">
        <w:r>
          <w:rPr>
            <w:color w:val="0000FF"/>
          </w:rPr>
          <w:t>подпунктами 2</w:t>
        </w:r>
      </w:hyperlink>
      <w:r>
        <w:t xml:space="preserve">, </w:t>
      </w:r>
      <w:hyperlink r:id="rId21">
        <w:r>
          <w:rPr>
            <w:color w:val="0000FF"/>
          </w:rPr>
          <w:t>5</w:t>
        </w:r>
      </w:hyperlink>
      <w:r>
        <w:t xml:space="preserve">, </w:t>
      </w:r>
      <w:hyperlink r:id="rId22">
        <w:r>
          <w:rPr>
            <w:color w:val="0000FF"/>
          </w:rPr>
          <w:t>6 пункта 7</w:t>
        </w:r>
      </w:hyperlink>
      <w:r>
        <w:t xml:space="preserve"> Правил N 445-ПП, объем средств, подлежащий возврату в областной бюджет, определяется в соответствии с </w:t>
      </w:r>
      <w:hyperlink r:id="rId23">
        <w:r>
          <w:rPr>
            <w:color w:val="0000FF"/>
          </w:rPr>
          <w:t>пунктами 12</w:t>
        </w:r>
      </w:hyperlink>
      <w:r>
        <w:t xml:space="preserve">, </w:t>
      </w:r>
      <w:hyperlink r:id="rId24">
        <w:r>
          <w:rPr>
            <w:color w:val="0000FF"/>
          </w:rPr>
          <w:t>13</w:t>
        </w:r>
      </w:hyperlink>
      <w:r>
        <w:t xml:space="preserve"> Правил N 445-ПП.</w:t>
      </w:r>
    </w:p>
    <w:p w:rsidR="00FE572C" w:rsidRDefault="00FE572C">
      <w:pPr>
        <w:pStyle w:val="ConsPlusNormal"/>
        <w:spacing w:before="220"/>
        <w:ind w:firstLine="540"/>
        <w:jc w:val="both"/>
      </w:pPr>
      <w:r>
        <w:t xml:space="preserve">20. Основанием для освобождения муниципальных образований от применения мер ответственности, предусмотренных </w:t>
      </w:r>
      <w:hyperlink r:id="rId25">
        <w:r>
          <w:rPr>
            <w:color w:val="0000FF"/>
          </w:rPr>
          <w:t>пунктами 12</w:t>
        </w:r>
      </w:hyperlink>
      <w:r>
        <w:t xml:space="preserve"> и </w:t>
      </w:r>
      <w:hyperlink r:id="rId26">
        <w:r>
          <w:rPr>
            <w:color w:val="0000FF"/>
          </w:rPr>
          <w:t>13</w:t>
        </w:r>
      </w:hyperlink>
      <w:r>
        <w:t xml:space="preserve"> Правил N 445-ПП, является документально подтвержденное наступление обстоятельств непреодолимой силы, предусмотренных </w:t>
      </w:r>
      <w:hyperlink r:id="rId27">
        <w:r>
          <w:rPr>
            <w:color w:val="0000FF"/>
          </w:rPr>
          <w:t>пунктом 14</w:t>
        </w:r>
      </w:hyperlink>
      <w:r>
        <w:t xml:space="preserve"> Правил N 445-ПП.</w:t>
      </w:r>
    </w:p>
    <w:p w:rsidR="00FE572C" w:rsidRDefault="00FE572C">
      <w:pPr>
        <w:pStyle w:val="ConsPlusNormal"/>
        <w:spacing w:before="220"/>
        <w:ind w:firstLine="540"/>
        <w:jc w:val="both"/>
      </w:pPr>
      <w:proofErr w:type="gramStart"/>
      <w:r>
        <w:t xml:space="preserve">В случае отсутствия оснований для освобождения муниципальных образований от применения мер ответственности, предусмотренных </w:t>
      </w:r>
      <w:hyperlink r:id="rId28">
        <w:r>
          <w:rPr>
            <w:color w:val="0000FF"/>
          </w:rPr>
          <w:t>пунктами 12</w:t>
        </w:r>
      </w:hyperlink>
      <w:r>
        <w:t xml:space="preserve"> и </w:t>
      </w:r>
      <w:hyperlink r:id="rId29">
        <w:r>
          <w:rPr>
            <w:color w:val="0000FF"/>
          </w:rPr>
          <w:t>13</w:t>
        </w:r>
      </w:hyperlink>
      <w:r>
        <w:t xml:space="preserve"> Правил N 445-ПП, Министерство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а в случае предоставления субсидии в целях софинансирования капитальных вложений в объекты</w:t>
      </w:r>
      <w:proofErr w:type="gramEnd"/>
      <w:r>
        <w:t xml:space="preserve"> муниципальной собственности - не позднее 10 апреля года, следующего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w:t>
      </w:r>
      <w:hyperlink r:id="rId30">
        <w:r>
          <w:rPr>
            <w:color w:val="0000FF"/>
          </w:rPr>
          <w:t>пунктами 12</w:t>
        </w:r>
      </w:hyperlink>
      <w:r>
        <w:t xml:space="preserve"> и </w:t>
      </w:r>
      <w:hyperlink r:id="rId31">
        <w:r>
          <w:rPr>
            <w:color w:val="0000FF"/>
          </w:rPr>
          <w:t>13</w:t>
        </w:r>
      </w:hyperlink>
      <w:r>
        <w:t xml:space="preserve"> Правил N 445-ПП, с указанием сумм, подлежащих возврату, средств и сроков их возврата.</w:t>
      </w:r>
    </w:p>
    <w:p w:rsidR="00FE572C" w:rsidRDefault="00FE572C">
      <w:pPr>
        <w:pStyle w:val="ConsPlusNormal"/>
        <w:spacing w:before="220"/>
        <w:ind w:firstLine="540"/>
        <w:jc w:val="both"/>
      </w:pPr>
      <w:proofErr w:type="gramStart"/>
      <w:r>
        <w:lastRenderedPageBreak/>
        <w:t xml:space="preserve">В случае если в отчетном году или до 1 апреля текущего года прекращены полномочия главы администрации муниципального образования, заключившего соглашение, содержащееся в котором обязательство, предусмотренное </w:t>
      </w:r>
      <w:hyperlink r:id="rId32">
        <w:r>
          <w:rPr>
            <w:color w:val="0000FF"/>
          </w:rPr>
          <w:t>подпунктом 2 пункта 7</w:t>
        </w:r>
      </w:hyperlink>
      <w:r>
        <w:t xml:space="preserve"> Правил N 445-ПП, нарушено, и главой администрации муниципального образования (временно исполняющим обязанности главы администрации муниципального образования) назначено другое лицо, муниципальное образование освобождается от применения мер ответственности.</w:t>
      </w:r>
      <w:proofErr w:type="gramEnd"/>
    </w:p>
    <w:p w:rsidR="00FE572C" w:rsidRDefault="00FE572C">
      <w:pPr>
        <w:pStyle w:val="ConsPlusNormal"/>
        <w:spacing w:before="220"/>
        <w:ind w:firstLine="540"/>
        <w:jc w:val="both"/>
      </w:pPr>
      <w:r>
        <w:t xml:space="preserve">21. Действие </w:t>
      </w:r>
      <w:hyperlink w:anchor="P70">
        <w:r>
          <w:rPr>
            <w:color w:val="0000FF"/>
          </w:rPr>
          <w:t>19</w:t>
        </w:r>
      </w:hyperlink>
      <w:r>
        <w:t xml:space="preserve"> настоящих Правил не распространяется на случаи, когда муниципальным образованием не достигнуты показатели результативности, установленные Соглашением, по истечении первого года реализации этапа Программы.</w:t>
      </w:r>
    </w:p>
    <w:p w:rsidR="00FE572C" w:rsidRDefault="00FE572C">
      <w:pPr>
        <w:pStyle w:val="ConsPlusNormal"/>
        <w:spacing w:before="220"/>
        <w:ind w:firstLine="540"/>
        <w:jc w:val="both"/>
      </w:pPr>
      <w:r>
        <w:t xml:space="preserve">22. </w:t>
      </w: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33">
        <w:r>
          <w:rPr>
            <w:color w:val="0000FF"/>
          </w:rPr>
          <w:t>подпунктом 4 пункта 7</w:t>
        </w:r>
      </w:hyperlink>
      <w:r>
        <w:t xml:space="preserve"> Правил N 445-ПП,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w:t>
      </w:r>
      <w:hyperlink r:id="rId34">
        <w:r>
          <w:rPr>
            <w:color w:val="0000FF"/>
          </w:rPr>
          <w:t>пунктом 16</w:t>
        </w:r>
      </w:hyperlink>
      <w:r>
        <w:t xml:space="preserve"> Правил N 445-ПП.</w:t>
      </w:r>
      <w:proofErr w:type="gramEnd"/>
    </w:p>
    <w:p w:rsidR="00FE572C" w:rsidRDefault="00FE572C">
      <w:pPr>
        <w:pStyle w:val="ConsPlusNormal"/>
        <w:spacing w:before="220"/>
        <w:ind w:firstLine="540"/>
        <w:jc w:val="both"/>
      </w:pPr>
      <w:r>
        <w:t>23. Средства субсидии носят целевой характер и не могут быть использованы на другие цели.</w:t>
      </w:r>
    </w:p>
    <w:p w:rsidR="00FE572C" w:rsidRDefault="00FE572C">
      <w:pPr>
        <w:pStyle w:val="ConsPlusNormal"/>
        <w:spacing w:before="220"/>
        <w:ind w:firstLine="540"/>
        <w:jc w:val="both"/>
      </w:pPr>
      <w:r>
        <w:t>Муниципальное образование несет ответственность за целевое и эффективное использование субсидии, за нарушение условий, установленных настоящими Правилами, за достоверность сведений, предоставляемых в Министерство, подтверждающих целевое использование субсидии.</w:t>
      </w:r>
    </w:p>
    <w:p w:rsidR="00FE572C" w:rsidRDefault="00FE572C">
      <w:pPr>
        <w:pStyle w:val="ConsPlusNormal"/>
        <w:spacing w:before="220"/>
        <w:ind w:firstLine="540"/>
        <w:jc w:val="both"/>
      </w:pPr>
      <w:r>
        <w:t>24.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FE572C" w:rsidRDefault="00FE572C">
      <w:pPr>
        <w:pStyle w:val="ConsPlusNormal"/>
        <w:spacing w:before="220"/>
        <w:ind w:firstLine="540"/>
        <w:jc w:val="both"/>
      </w:pPr>
      <w:r>
        <w:t xml:space="preserve">25. </w:t>
      </w:r>
      <w:proofErr w:type="gramStart"/>
      <w:r>
        <w:t>Контроль за</w:t>
      </w:r>
      <w:proofErr w:type="gramEnd"/>
      <w:r>
        <w:t xml:space="preserve"> соблюдением получателями субсидии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rsidR="00FE572C" w:rsidRDefault="00FE572C">
      <w:pPr>
        <w:pStyle w:val="ConsPlusNormal"/>
        <w:jc w:val="both"/>
      </w:pPr>
    </w:p>
    <w:p w:rsidR="00FE572C" w:rsidRDefault="00FE572C">
      <w:pPr>
        <w:pStyle w:val="ConsPlusNormal"/>
        <w:jc w:val="both"/>
      </w:pPr>
    </w:p>
    <w:p w:rsidR="00FE572C" w:rsidRDefault="00FE572C">
      <w:pPr>
        <w:pStyle w:val="ConsPlusNormal"/>
        <w:jc w:val="both"/>
      </w:pPr>
    </w:p>
    <w:p w:rsidR="00FE572C" w:rsidRDefault="00FE572C">
      <w:pPr>
        <w:pStyle w:val="ConsPlusNormal"/>
        <w:jc w:val="both"/>
      </w:pPr>
    </w:p>
    <w:p w:rsidR="00FE572C" w:rsidRDefault="00FE572C">
      <w:pPr>
        <w:pStyle w:val="ConsPlusNormal"/>
        <w:jc w:val="both"/>
      </w:pPr>
    </w:p>
    <w:p w:rsidR="00FE572C" w:rsidRDefault="00FE572C">
      <w:pPr>
        <w:pStyle w:val="ConsPlusNormal"/>
      </w:pPr>
      <w:hyperlink r:id="rId35">
        <w:r>
          <w:rPr>
            <w:i/>
            <w:color w:val="0000FF"/>
          </w:rPr>
          <w:br/>
          <w:t>{Постановление Правительства Мурманской области от 01.04.2019 N 153-ПП (ред. от 24.07.2023) "Об утверждении региональной адресной программы "Переселение граждан из аварийного жилищного фонда в Мурманской области" на 2019 - 2024 годы" {КонсультантПлюс}}</w:t>
        </w:r>
      </w:hyperlink>
      <w:r>
        <w:br/>
      </w:r>
    </w:p>
    <w:p w:rsidR="00A1081F" w:rsidRDefault="00A1081F">
      <w:bookmarkStart w:id="8" w:name="_GoBack"/>
      <w:bookmarkEnd w:id="8"/>
    </w:p>
    <w:sectPr w:rsidR="00A1081F" w:rsidSect="003864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72C"/>
    <w:rsid w:val="00A1081F"/>
    <w:rsid w:val="00FE5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572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E572C"/>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572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E572C"/>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82F5E7D206A994D26C1A26EC1DF3E8693C2AE5CD1BEC0A7342E6CFF6E97CA73858AF7EC9711032C7F580E1DBD648B0883B28B6B75CAE10L" TargetMode="External"/><Relationship Id="rId13" Type="http://schemas.openxmlformats.org/officeDocument/2006/relationships/hyperlink" Target="consultantplus://offline/ref=1B82F5E7D206A994D26C1A26EC1DF3E8693C2DECC51EEC0A7342E6CFF6E97CA73858AF7FC6711C6DC2E091B9D7D756AE802D34B4B5A51DL" TargetMode="External"/><Relationship Id="rId18" Type="http://schemas.openxmlformats.org/officeDocument/2006/relationships/hyperlink" Target="consultantplus://offline/ref=1B82F5E7D206A994D26C042BFA71ADED6A3277E1C41CE35E2D1EE098A9B97AF27818A92982321A3893A4C6B1D6DC1CFFCC663BB5B740E3DC83773947A817L" TargetMode="External"/><Relationship Id="rId26" Type="http://schemas.openxmlformats.org/officeDocument/2006/relationships/hyperlink" Target="consultantplus://offline/ref=1B82F5E7D206A994D26C042BFA71ADED6A3277E1C41CE35E2D1EE098A9B97AF27818A92982321A3893A4C7B3D5DC1CFFCC663BB5B740E3DC83773947A817L" TargetMode="External"/><Relationship Id="rId3" Type="http://schemas.openxmlformats.org/officeDocument/2006/relationships/settings" Target="settings.xml"/><Relationship Id="rId21" Type="http://schemas.openxmlformats.org/officeDocument/2006/relationships/hyperlink" Target="consultantplus://offline/ref=1B82F5E7D206A994D26C042BFA71ADED6A3277E1C41CE35E2D1EE098A9B97AF27818A92982321A3893A4C7B1D2DC1CFFCC663BB5B740E3DC83773947A817L" TargetMode="External"/><Relationship Id="rId34" Type="http://schemas.openxmlformats.org/officeDocument/2006/relationships/hyperlink" Target="consultantplus://offline/ref=1B82F5E7D206A994D26C042BFA71ADED6A3277E1C41CE35E2D1EE098A9B97AF27818A92982321A3893A4C7BCD3DC1CFFCC663BB5B740E3DC83773947A817L" TargetMode="External"/><Relationship Id="rId7" Type="http://schemas.openxmlformats.org/officeDocument/2006/relationships/hyperlink" Target="consultantplus://offline/ref=1B82F5E7D206A994D26C042BFA71ADED6A3277E1C41CE25C2913E098A9B97AF27818A92982321A3895A1C3B5D0DC1CFFCC663BB5B740E3DC83773947A817L" TargetMode="External"/><Relationship Id="rId12" Type="http://schemas.openxmlformats.org/officeDocument/2006/relationships/hyperlink" Target="consultantplus://offline/ref=1B82F5E7D206A994D26C1A26EC1DF3E8693C2DECC51EEC0A7342E6CFF6E97CA73858AF7FC9731C6DC2E091B9D7D756AE802D34B4B5A51DL" TargetMode="External"/><Relationship Id="rId17" Type="http://schemas.openxmlformats.org/officeDocument/2006/relationships/hyperlink" Target="consultantplus://offline/ref=1B82F5E7D206A994D26C1A26EC1DF3E8693C2AEFC516EC0A7342E6CFF6E97CA72A58F770C07609399BBAC6B4D4AD14L" TargetMode="External"/><Relationship Id="rId25" Type="http://schemas.openxmlformats.org/officeDocument/2006/relationships/hyperlink" Target="consultantplus://offline/ref=1B82F5E7D206A994D26C042BFA71ADED6A3277E1C41CE35E2D1EE098A9B97AF27818A92982321A3893A4C7B4D3DC1CFFCC663BB5B740E3DC83773947A817L" TargetMode="External"/><Relationship Id="rId33" Type="http://schemas.openxmlformats.org/officeDocument/2006/relationships/hyperlink" Target="consultantplus://offline/ref=1B82F5E7D206A994D26C042BFA71ADED6A3277E1C41CE35E2D1EE098A9B97AF27818A92982321A3893A4C7B1D5DC1CFFCC663BB5B740E3DC83773947A817L" TargetMode="External"/><Relationship Id="rId2" Type="http://schemas.microsoft.com/office/2007/relationships/stylesWithEffects" Target="stylesWithEffects.xml"/><Relationship Id="rId16" Type="http://schemas.openxmlformats.org/officeDocument/2006/relationships/hyperlink" Target="consultantplus://offline/ref=1B82F5E7D206A994D26C1A26EC1DF3E8693C2AE5C319EC0A7342E6CFF6E97CA72A58F770C07609399BBAC6B4D4AD14L" TargetMode="External"/><Relationship Id="rId20" Type="http://schemas.openxmlformats.org/officeDocument/2006/relationships/hyperlink" Target="consultantplus://offline/ref=1B82F5E7D206A994D26C042BFA71ADED6A3277E1C41CE35E2D1EE098A9B97AF27818A92982321A3893A4C7B0DEDC1CFFCC663BB5B740E3DC83773947A817L" TargetMode="External"/><Relationship Id="rId29" Type="http://schemas.openxmlformats.org/officeDocument/2006/relationships/hyperlink" Target="consultantplus://offline/ref=1B82F5E7D206A994D26C042BFA71ADED6A3277E1C41CE35E2D1EE098A9B97AF27818A92982321A3893A4C7B3D5DC1CFFCC663BB5B740E3DC83773947A817L" TargetMode="External"/><Relationship Id="rId1" Type="http://schemas.openxmlformats.org/officeDocument/2006/relationships/styles" Target="styles.xml"/><Relationship Id="rId6" Type="http://schemas.openxmlformats.org/officeDocument/2006/relationships/hyperlink" Target="consultantplus://offline/ref=1B82F5E7D206A994D26C042BFA71ADED6A3277E1C41CE3552C12E098A9B97AF27818A92982321A3893A4C4B7D1DC1CFFCC663BB5B740E3DC83773947A817L" TargetMode="External"/><Relationship Id="rId11" Type="http://schemas.openxmlformats.org/officeDocument/2006/relationships/hyperlink" Target="consultantplus://offline/ref=1B82F5E7D206A994D26C042BFA71ADED6A3277E1C41CE3552C12E098A9B97AF27818A92982321A3893A4C4B7D1DC1CFFCC663BB5B740E3DC83773947A817L" TargetMode="External"/><Relationship Id="rId24" Type="http://schemas.openxmlformats.org/officeDocument/2006/relationships/hyperlink" Target="consultantplus://offline/ref=1B82F5E7D206A994D26C042BFA71ADED6A3277E1C41CE35E2D1EE098A9B97AF27818A92982321A3893A4C7B3D5DC1CFFCC663BB5B740E3DC83773947A817L" TargetMode="External"/><Relationship Id="rId32" Type="http://schemas.openxmlformats.org/officeDocument/2006/relationships/hyperlink" Target="consultantplus://offline/ref=1B82F5E7D206A994D26C042BFA71ADED6A3277E1C41CE35E2D1EE098A9B97AF27818A92982321A3893A4C7B0DEDC1CFFCC663BB5B740E3DC83773947A817L" TargetMode="External"/><Relationship Id="rId37" Type="http://schemas.openxmlformats.org/officeDocument/2006/relationships/theme" Target="theme/theme1.xml"/><Relationship Id="rId5" Type="http://schemas.openxmlformats.org/officeDocument/2006/relationships/hyperlink" Target="consultantplus://offline/ref=1B82F5E7D206A994D26C042BFA71ADED6A3277E1C41CE555271EE098A9B97AF27818A92982321A3893A6C2B4D7DC1CFFCC663BB5B740E3DC83773947A817L" TargetMode="External"/><Relationship Id="rId15" Type="http://schemas.openxmlformats.org/officeDocument/2006/relationships/hyperlink" Target="consultantplus://offline/ref=1B82F5E7D206A994D26C1A26EC1DF3E8693C2DECC51EEC0A7342E6CFF6E97CA73858AF7CC0771132C7F580E1DBD648B0883B28B6B75CAE10L" TargetMode="External"/><Relationship Id="rId23" Type="http://schemas.openxmlformats.org/officeDocument/2006/relationships/hyperlink" Target="consultantplus://offline/ref=1B82F5E7D206A994D26C042BFA71ADED6A3277E1C41CE35E2D1EE098A9B97AF27818A92982321A3893A4C7B4D3DC1CFFCC663BB5B740E3DC83773947A817L" TargetMode="External"/><Relationship Id="rId28" Type="http://schemas.openxmlformats.org/officeDocument/2006/relationships/hyperlink" Target="consultantplus://offline/ref=1B82F5E7D206A994D26C042BFA71ADED6A3277E1C41CE35E2D1EE098A9B97AF27818A92982321A3893A4C7B4D3DC1CFFCC663BB5B740E3DC83773947A817L" TargetMode="External"/><Relationship Id="rId36" Type="http://schemas.openxmlformats.org/officeDocument/2006/relationships/fontTable" Target="fontTable.xml"/><Relationship Id="rId10" Type="http://schemas.openxmlformats.org/officeDocument/2006/relationships/hyperlink" Target="consultantplus://offline/ref=1B82F5E7D206A994D26C1A26EC1DF3E8693A2FEBCD18EC0A7342E6CFF6E97CA73858AF7CC176153D94AF90E5928245AF882D36BCA95CE3D6A91EL" TargetMode="External"/><Relationship Id="rId19" Type="http://schemas.openxmlformats.org/officeDocument/2006/relationships/hyperlink" Target="consultantplus://offline/ref=1B82F5E7D206A994D26C042BFA71ADED6A3277E1C41CE35E2D1EE098A9B97AF27818A92982321A3893A4C7B0D0DC1CFFCC663BB5B740E3DC83773947A817L" TargetMode="External"/><Relationship Id="rId31" Type="http://schemas.openxmlformats.org/officeDocument/2006/relationships/hyperlink" Target="consultantplus://offline/ref=1B82F5E7D206A994D26C042BFA71ADED6A3277E1C41CE35E2D1EE098A9B97AF27818A92982321A3893A4C7B3D5DC1CFFCC663BB5B740E3DC83773947A817L" TargetMode="External"/><Relationship Id="rId4" Type="http://schemas.openxmlformats.org/officeDocument/2006/relationships/webSettings" Target="webSettings.xml"/><Relationship Id="rId9" Type="http://schemas.openxmlformats.org/officeDocument/2006/relationships/hyperlink" Target="consultantplus://offline/ref=1B82F5E7D206A994D26C1A26EC1DF3E8693A2FEBCD18EC0A7342E6CFF6E97CA73858AF74C1701C6DC2E091B9D7D756AE802D34B4B5A51DL" TargetMode="External"/><Relationship Id="rId14" Type="http://schemas.openxmlformats.org/officeDocument/2006/relationships/hyperlink" Target="consultantplus://offline/ref=1B82F5E7D206A994D26C1A26EC1DF3E8693C2DECC51EEC0A7342E6CFF6E97CA73858AF7CC376103A98F095F083DA49AE96333EAAB55EE1AD17L" TargetMode="External"/><Relationship Id="rId22" Type="http://schemas.openxmlformats.org/officeDocument/2006/relationships/hyperlink" Target="consultantplus://offline/ref=1B82F5E7D206A994D26C042BFA71ADED6A3277E1C41CE35E2D1EE098A9B97AF27818A92982321A3893A4C7B1D3DC1CFFCC663BB5B740E3DC83773947A817L" TargetMode="External"/><Relationship Id="rId27" Type="http://schemas.openxmlformats.org/officeDocument/2006/relationships/hyperlink" Target="consultantplus://offline/ref=1B82F5E7D206A994D26C042BFA71ADED6A3277E1C41CE35E2D1EE098A9B97AF27818A92982321A3893A4C7B3D1DC1CFFCC663BB5B740E3DC83773947A817L" TargetMode="External"/><Relationship Id="rId30" Type="http://schemas.openxmlformats.org/officeDocument/2006/relationships/hyperlink" Target="consultantplus://offline/ref=1B82F5E7D206A994D26C042BFA71ADED6A3277E1C41CE35E2D1EE098A9B97AF27818A92982321A3893A4C7B4D3DC1CFFCC663BB5B740E3DC83773947A817L" TargetMode="External"/><Relationship Id="rId35" Type="http://schemas.openxmlformats.org/officeDocument/2006/relationships/hyperlink" Target="consultantplus://offline/ref=1B82F5E7D206A994D26C042BFA71ADED6A3277E1C41CE25C2913E098A9B97AF27818A92982321A389BA0C7B2DEDC1CFFCC663BB5B740E3DC83773947A81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4141</Words>
  <Characters>23606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27692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2023-08-10T11:52:00Z</dcterms:created>
  <dcterms:modified xsi:type="dcterms:W3CDTF">2023-08-10T11:53:00Z</dcterms:modified>
</cp:coreProperties>
</file>